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151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تنبيهات حول كتاب « أحكام تمني الموت</w:t>
      </w:r>
      <w:r w:rsidRPr="006515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»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هذه ملحوظات حول كتاب «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 xml:space="preserve">أحكام تمني الموت 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» المنسوب لشيخ الإسلام محمد بن عبد الوهاب رحمه الله ، على ضوئها أرى أنَّ في نسبته إليه نظراً :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أولاً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اُعتُمد في طبع هذا الكتاب على نسخةٍ مصورةٍ في المكتبة السعودية بالرياض برقم (771/86) عن أصل مخطوط في مكتبة لايدن في هولندا برقم (2479) وهذا أمر مستغرب ؛ إذ أنَّ أصول كتب الشيخ موجودة عند أبنائه وطلابه في هذه البلاد ، ويندر أن يوجد منها شيء خارجها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ثانيا</w:t>
      </w:r>
      <w:proofErr w:type="gramEnd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أنَّ كتب الشيخ غالباً لها أصول كثيرة بقلم الشيخ أو أبنائه أو طلابه ، أما هذا الكتاب فلم يوجد له إلا أصل واحد !!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ثالثا</w:t>
      </w:r>
      <w:proofErr w:type="gramEnd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أن هذه المخطوطة لم يكتب عليها اسم مؤلفها أو ناسخها أو تاريخ نسخها بالخط الذي كُتبت به ، وإنما كتب عليها بخط مغاير لخطها : ( هذا خط شيخ الإسلام ... محمد بن عبد الوهاب ... ) ، فلعل كاتب هذه العبارة عندما وقف على هذه المخطوطة توهم أنها بخط الشيخ رحمه الله فنسبها إليه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رابعا</w:t>
      </w:r>
      <w:proofErr w:type="gramEnd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من قرأ هذا الكتاب وله دراية بكتب الشيخ قطع بأنه ليس من تأليفه ، لأن كاتبه اعتنى فيه بجمع الأحاديث والآثار المتعلقة بالموت وأهواله دون تمحيص لها أو انتقاء ، وقد وقفتُ فيه على جملة من الأحاديث الضعيفة والموضوعة والحكايات الغريبة جُمعت فيه مع غيرها من الأحاديث الصحيحة دون ترتيب أو تبويب ، وهذا ليس من أسلوب الشيخ ولا على طريقته في مؤلفاته التي تمتاز بالإتقان والدقة ، وبالمقارنة بين هذا الكتاب وبين كتب الشيخ تُدرك هذه الحقيقة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خامسا</w:t>
      </w:r>
      <w:proofErr w:type="gramEnd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ليس في هذا الكتاب ما يتعلق بتمني الموت إلا في أربع صفحات من مقدمته ، أما بقية الكتاب فهو عن عذاب القبر وأهواله وغير ذلك مما ليس له صلة قوية 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>بعنوان الكتاب . وليس من منهج الشيخ ولا من منهج المحققين من أهل العلم أن يكون عنوان كتبهم مخالفاً لمضمونها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سادسا</w:t>
      </w:r>
      <w:proofErr w:type="gramEnd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هذا الكتاب أشبه ما يكون أسلوبه وطريقته بمؤلفات السيوطي ، وكدتُ أقطع بأنه له لولا أني رأيت مؤلِّفه نقل عن السيوطي في صفحة 36 فقال : ( قال السيوطي : ... ) ، ومع هذا فقد ظهر لي بعد أن الكتاب مختصر من كتاب السيوطي (شرح الصدور بشرح حال الموتى والقبور) ، فقد قارنت بينهما فوجدت أن جميع الأحاديث الموجودة فيه موجودة في كتاب السيوطي على الترتيب نفسه ، مع حذف للأبواب وجملة من الأحاديث . والموضع الذي قال فيه ( قال السيوطي : ... ) بدله في شرح الصدور (قلت: ...)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 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سابعا</w:t>
      </w:r>
      <w:proofErr w:type="gramStart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proofErr w:type="gramEnd"/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جميع من ترجم للشيخ – فيما اطلعت عليه – لم يذكر أحد منهم هذا الكتاب ضمن مؤلفاته رحمه الله ، عدا بعض المعاصرين ممن اغتر برؤيته هذه المخطوطة منسوبة إلى الشيخ ، أو اعتمد على نشره ضمن مجموع مؤلفات الشيخ وليس في هذا ما يدل على أنه له ، لاسيما وأن محقق الكتاب لم يقدم دراسة عن الكتاب يبين فيها صحة نسبته إلى مؤلفه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5151F">
        <w:rPr>
          <w:rFonts w:ascii="Wingdings" w:eastAsia="Times New Roman" w:hAnsi="Wingdings" w:cs="Times New Roman"/>
          <w:color w:val="333333"/>
          <w:sz w:val="36"/>
          <w:szCs w:val="36"/>
        </w:rPr>
        <w:t></w:t>
      </w:r>
      <w:r w:rsidRPr="0065151F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 xml:space="preserve"> </w:t>
      </w:r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 ثامنا</w:t>
      </w:r>
      <w:proofErr w:type="gramEnd"/>
      <w:r w:rsidRPr="0065151F">
        <w:rPr>
          <w:rFonts w:ascii="Times New Roman" w:eastAsia="Times New Roman" w:hAnsi="Times New Roman" w:cs="Traditional Arabic" w:hint="cs"/>
          <w:b/>
          <w:bCs/>
          <w:color w:val="333333"/>
          <w:sz w:val="36"/>
          <w:szCs w:val="36"/>
          <w:rtl/>
        </w:rPr>
        <w:t>ً :</w:t>
      </w: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 xml:space="preserve"> أنَّ منهج الشيخ في دعوته التحذير من البدع والخرافات ، وأما هذا الكتاب فمليء بالأدلة الباطلة والحكايات الغريبة التي تدعو إليها . ومن الأمثلة على ذلك : رفع الصوت بالدعاء للموتى عند قبورهم ، وتلقين الميت الشهادتين عند دفنه ، وأن الموتى يسمعون الأحياء ويتخاطبون معهم ، وأن القبور يؤذن فيها ويسمع الأحياء ذلك ، وإرسال الأكفان الجديدة مع من يموت إلى أهل القبور ، وغير ذلك من البدع الكثيرة التي ما أنزل الله بها من سلطان . فالله المستعان ولا حول ولا قوة إلا بالله . ومن تأمل كتب الشيخ ومؤلفاته وجد فيها التحذير من هذه البدع وأمثالها والإنكار على فاعلها ، فلا يتصور ممن كان كذلك أن يذكر هذه الأدلة الباطلة والحكايات الغريبة الداعية إلى البدع ثم لا يبين بطلانه .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lastRenderedPageBreak/>
        <w:t xml:space="preserve">وآخر دعوانا أن الحمد لله رب العالمين ، وصلى الله وسلم على نبينا محمد وعلى آله وأصحابه أجمعين . </w:t>
      </w:r>
    </w:p>
    <w:p w:rsidR="0065151F" w:rsidRPr="0065151F" w:rsidRDefault="0065151F" w:rsidP="0065151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151F">
        <w:rPr>
          <w:rFonts w:ascii="Times New Roman" w:eastAsia="Times New Roman" w:hAnsi="Times New Roman" w:cs="Traditional Arabic" w:hint="cs"/>
          <w:color w:val="333333"/>
          <w:sz w:val="36"/>
          <w:szCs w:val="36"/>
          <w:rtl/>
        </w:rPr>
        <w:t>************</w:t>
      </w:r>
    </w:p>
    <w:p w:rsidR="00D54CFC" w:rsidRPr="0065151F" w:rsidRDefault="00D54CFC" w:rsidP="0065151F">
      <w:pPr>
        <w:spacing w:line="240" w:lineRule="auto"/>
        <w:ind w:firstLine="284"/>
        <w:jc w:val="both"/>
      </w:pPr>
    </w:p>
    <w:sectPr w:rsidR="00D54CFC" w:rsidRPr="0065151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0F7CEB"/>
    <w:rsid w:val="00113507"/>
    <w:rsid w:val="0012644C"/>
    <w:rsid w:val="00320B8C"/>
    <w:rsid w:val="0054152C"/>
    <w:rsid w:val="0065151F"/>
    <w:rsid w:val="006C4AFB"/>
    <w:rsid w:val="00755AFC"/>
    <w:rsid w:val="007B4B51"/>
    <w:rsid w:val="0085402B"/>
    <w:rsid w:val="008B7E12"/>
    <w:rsid w:val="00A02C91"/>
    <w:rsid w:val="00A245B9"/>
    <w:rsid w:val="00A7473B"/>
    <w:rsid w:val="00B61EC7"/>
    <w:rsid w:val="00BC39D7"/>
    <w:rsid w:val="00D54CFC"/>
    <w:rsid w:val="00D7631C"/>
    <w:rsid w:val="00F56AAD"/>
    <w:rsid w:val="00F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paragraph" w:styleId="Heading2">
    <w:name w:val="heading 2"/>
    <w:basedOn w:val="Normal"/>
    <w:link w:val="Heading2Char"/>
    <w:uiPriority w:val="9"/>
    <w:qFormat/>
    <w:rsid w:val="001135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2015-02-18T19:23:00Z</cp:lastPrinted>
  <dcterms:created xsi:type="dcterms:W3CDTF">2015-02-18T19:27:00Z</dcterms:created>
  <dcterms:modified xsi:type="dcterms:W3CDTF">2015-02-18T19:27:00Z</dcterms:modified>
</cp:coreProperties>
</file>